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FD8A" w14:textId="65126978" w:rsidR="00DF4510" w:rsidRPr="00DF4510" w:rsidRDefault="00C472BF" w:rsidP="00202102">
      <w:r>
        <w:rPr>
          <w:rFonts w:ascii="Baskerville Old Face" w:hAnsi="Baskerville Old Face"/>
          <w:b/>
          <w:bCs/>
          <w:color w:val="000000" w:themeColor="text1"/>
          <w:sz w:val="40"/>
          <w:szCs w:val="40"/>
        </w:rPr>
        <w:t xml:space="preserve">   </w:t>
      </w:r>
      <w:r w:rsidR="00DF4510" w:rsidRPr="00DF4510">
        <w:rPr>
          <w:rFonts w:ascii="Baskerville Old Face" w:hAnsi="Baskerville Old Face"/>
          <w:b/>
          <w:bCs/>
          <w:color w:val="000000" w:themeColor="text1"/>
          <w:sz w:val="40"/>
          <w:szCs w:val="40"/>
        </w:rPr>
        <w:t xml:space="preserve">Code of Conduct </w:t>
      </w:r>
      <w:r w:rsidR="00DF4510">
        <w:rPr>
          <w:rFonts w:ascii="Baskerville Old Face" w:hAnsi="Baskerville Old Face"/>
          <w:b/>
          <w:bCs/>
          <w:color w:val="000000" w:themeColor="text1"/>
          <w:sz w:val="40"/>
          <w:szCs w:val="40"/>
        </w:rPr>
        <w:t xml:space="preserve">                        </w:t>
      </w:r>
      <w:r w:rsidR="00DF4510">
        <w:rPr>
          <w:rFonts w:ascii="Baskerville Old Face" w:hAnsi="Baskerville Old Face"/>
          <w:b/>
          <w:bCs/>
          <w:noProof/>
          <w:color w:val="000000" w:themeColor="text1"/>
          <w:sz w:val="40"/>
          <w:szCs w:val="40"/>
        </w:rPr>
        <w:drawing>
          <wp:inline distT="0" distB="0" distL="0" distR="0" wp14:anchorId="45AFB5D3" wp14:editId="0FCCDB84">
            <wp:extent cx="1522800" cy="982800"/>
            <wp:effectExtent l="0" t="0" r="0" b="0"/>
            <wp:docPr id="1854018733" name="Picture 3"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18733" name="Picture 3" descr="A logo of a c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2800" cy="982800"/>
                    </a:xfrm>
                    <a:prstGeom prst="rect">
                      <a:avLst/>
                    </a:prstGeom>
                    <a:noFill/>
                    <a:ln>
                      <a:noFill/>
                    </a:ln>
                  </pic:spPr>
                </pic:pic>
              </a:graphicData>
            </a:graphic>
          </wp:inline>
        </w:drawing>
      </w:r>
      <w:r w:rsidR="00DF4510">
        <w:rPr>
          <w:rFonts w:ascii="Baskerville Old Face" w:hAnsi="Baskerville Old Face"/>
          <w:b/>
          <w:bCs/>
          <w:color w:val="000000" w:themeColor="text1"/>
          <w:sz w:val="40"/>
          <w:szCs w:val="40"/>
        </w:rPr>
        <w:t xml:space="preserve">                  </w:t>
      </w:r>
    </w:p>
    <w:p w14:paraId="54EE7D03" w14:textId="26FA22B6" w:rsidR="00202102" w:rsidRPr="00DF4510" w:rsidRDefault="00C472BF" w:rsidP="00202102">
      <w:pPr>
        <w:rPr>
          <w:rFonts w:ascii="Baskerville Old Face" w:hAnsi="Baskerville Old Face"/>
          <w:color w:val="33CCCC"/>
          <w:sz w:val="40"/>
          <w:szCs w:val="40"/>
        </w:rPr>
      </w:pPr>
      <w:r>
        <w:rPr>
          <w:rFonts w:ascii="Baskerville Old Face" w:hAnsi="Baskerville Old Face"/>
          <w:b/>
          <w:bCs/>
          <w:color w:val="33CCCC"/>
          <w:sz w:val="40"/>
          <w:szCs w:val="40"/>
        </w:rPr>
        <w:t xml:space="preserve">   </w:t>
      </w:r>
      <w:r w:rsidR="00202102" w:rsidRPr="00DF4510">
        <w:rPr>
          <w:rFonts w:ascii="Baskerville Old Face" w:hAnsi="Baskerville Old Face"/>
          <w:b/>
          <w:bCs/>
          <w:color w:val="33CCCC"/>
          <w:sz w:val="40"/>
          <w:szCs w:val="40"/>
        </w:rPr>
        <w:t>Terms &amp; Conditions</w:t>
      </w:r>
    </w:p>
    <w:p w14:paraId="5C3EAFC9" w14:textId="5BCEC8CC" w:rsidR="00202102" w:rsidRPr="00DF4510" w:rsidRDefault="00C472BF" w:rsidP="00202102">
      <w:pPr>
        <w:rPr>
          <w:rFonts w:ascii="Baskerville Old Face" w:hAnsi="Baskerville Old Face"/>
          <w:color w:val="33CCCC"/>
          <w:sz w:val="36"/>
          <w:szCs w:val="36"/>
        </w:rPr>
      </w:pPr>
      <w:r>
        <w:rPr>
          <w:rFonts w:ascii="Baskerville Old Face" w:hAnsi="Baskerville Old Face"/>
          <w:color w:val="33CCCC"/>
          <w:sz w:val="36"/>
          <w:szCs w:val="36"/>
        </w:rPr>
        <w:t xml:space="preserve">    </w:t>
      </w:r>
      <w:r w:rsidR="00202102" w:rsidRPr="00DF4510">
        <w:rPr>
          <w:rFonts w:ascii="Baskerville Old Face" w:hAnsi="Baskerville Old Face"/>
          <w:color w:val="33CCCC"/>
          <w:sz w:val="36"/>
          <w:szCs w:val="36"/>
        </w:rPr>
        <w:t>Marketing Membership</w:t>
      </w:r>
    </w:p>
    <w:p w14:paraId="26AE27F5" w14:textId="764026BE" w:rsidR="00DF4510" w:rsidRPr="0027684A" w:rsidRDefault="00DF4510" w:rsidP="00202102">
      <w:pPr>
        <w:numPr>
          <w:ilvl w:val="0"/>
          <w:numId w:val="8"/>
        </w:numPr>
        <w:rPr>
          <w:rFonts w:ascii="Calibri" w:hAnsi="Calibri" w:cs="Calibri"/>
          <w:sz w:val="20"/>
          <w:szCs w:val="20"/>
        </w:rPr>
      </w:pPr>
      <w:r w:rsidRPr="0027684A">
        <w:rPr>
          <w:rFonts w:ascii="Calibri" w:hAnsi="Calibri" w:cs="Calibri"/>
          <w:sz w:val="20"/>
          <w:szCs w:val="20"/>
        </w:rPr>
        <w:t xml:space="preserve">Membership is currently free of charge. </w:t>
      </w:r>
    </w:p>
    <w:p w14:paraId="1F662FB5" w14:textId="09268AF9"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The Bunbury Visitor Centre and the City of Bunbury reserves the right to accept/deny membership and alter membership activities/benefits at its discretion.</w:t>
      </w:r>
    </w:p>
    <w:p w14:paraId="2E4108B3" w14:textId="0E651A21"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 xml:space="preserve">The Bunbury Visitor Centre reserves the right to manage content and images on the Visit Bunbury Geographe website </w:t>
      </w:r>
      <w:proofErr w:type="gramStart"/>
      <w:r w:rsidRPr="0027684A">
        <w:rPr>
          <w:rFonts w:ascii="Calibri" w:hAnsi="Calibri" w:cs="Calibri"/>
          <w:sz w:val="20"/>
          <w:szCs w:val="20"/>
        </w:rPr>
        <w:t>in order to</w:t>
      </w:r>
      <w:proofErr w:type="gramEnd"/>
      <w:r w:rsidRPr="0027684A">
        <w:rPr>
          <w:rFonts w:ascii="Calibri" w:hAnsi="Calibri" w:cs="Calibri"/>
          <w:sz w:val="20"/>
          <w:szCs w:val="20"/>
        </w:rPr>
        <w:t xml:space="preserve"> maintain quality control.</w:t>
      </w:r>
    </w:p>
    <w:p w14:paraId="0FF77B9E" w14:textId="2450D215"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 xml:space="preserve">If your listing does not meet the required </w:t>
      </w:r>
      <w:r w:rsidR="004D301A" w:rsidRPr="0027684A">
        <w:rPr>
          <w:rFonts w:ascii="Calibri" w:hAnsi="Calibri" w:cs="Calibri"/>
          <w:sz w:val="20"/>
          <w:szCs w:val="20"/>
        </w:rPr>
        <w:t>standard,</w:t>
      </w:r>
      <w:r w:rsidRPr="0027684A">
        <w:rPr>
          <w:rFonts w:ascii="Calibri" w:hAnsi="Calibri" w:cs="Calibri"/>
          <w:sz w:val="20"/>
          <w:szCs w:val="20"/>
        </w:rPr>
        <w:t xml:space="preserve"> you will be contacted by the Tourism Team and asked to amend appropriately.</w:t>
      </w:r>
    </w:p>
    <w:p w14:paraId="244E25E8" w14:textId="6A2B18C6"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All benefits offered are non-transferable</w:t>
      </w:r>
      <w:r w:rsidR="00C472BF" w:rsidRPr="0027684A">
        <w:rPr>
          <w:rFonts w:ascii="Calibri" w:hAnsi="Calibri" w:cs="Calibri"/>
          <w:sz w:val="20"/>
          <w:szCs w:val="20"/>
        </w:rPr>
        <w:t>.</w:t>
      </w:r>
      <w:r w:rsidRPr="0027684A">
        <w:rPr>
          <w:rFonts w:ascii="Calibri" w:hAnsi="Calibri" w:cs="Calibri"/>
          <w:sz w:val="20"/>
          <w:szCs w:val="20"/>
        </w:rPr>
        <w:t xml:space="preserve"> </w:t>
      </w:r>
    </w:p>
    <w:p w14:paraId="6510F006" w14:textId="77777777"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Members need to provide a copy of their public liability insurance certificate of currency and certificate of registration of a business name.</w:t>
      </w:r>
    </w:p>
    <w:p w14:paraId="55D4FF9A" w14:textId="77777777"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Please allow 14 days for membership processing.</w:t>
      </w:r>
    </w:p>
    <w:p w14:paraId="446F9B78" w14:textId="4EE0689A" w:rsidR="00202102" w:rsidRPr="0027684A" w:rsidRDefault="00202102" w:rsidP="00202102">
      <w:pPr>
        <w:numPr>
          <w:ilvl w:val="0"/>
          <w:numId w:val="8"/>
        </w:numPr>
        <w:rPr>
          <w:rFonts w:ascii="Calibri" w:hAnsi="Calibri" w:cs="Calibri"/>
          <w:sz w:val="20"/>
          <w:szCs w:val="20"/>
        </w:rPr>
      </w:pPr>
      <w:r w:rsidRPr="0027684A">
        <w:rPr>
          <w:rFonts w:ascii="Calibri" w:hAnsi="Calibri" w:cs="Calibri"/>
          <w:sz w:val="20"/>
          <w:szCs w:val="20"/>
        </w:rPr>
        <w:t>All members with a bookable product pay a service commission. The Bunbury Visitor Centre is 11% for Gold Medal Bookeasy operators and 12.5% for 24 Hour Medal Bookeasy operators. Gold medal Bookeasy operators are those who have live product inventory so visitors/consultants can book immediately.</w:t>
      </w:r>
    </w:p>
    <w:p w14:paraId="501601E1" w14:textId="4E49FDBF" w:rsidR="00AB4523" w:rsidRPr="0027684A" w:rsidRDefault="00AB4523" w:rsidP="00AB4523">
      <w:pPr>
        <w:numPr>
          <w:ilvl w:val="0"/>
          <w:numId w:val="8"/>
        </w:numPr>
        <w:rPr>
          <w:rFonts w:ascii="Calibri" w:hAnsi="Calibri" w:cs="Calibri"/>
          <w:sz w:val="20"/>
          <w:szCs w:val="20"/>
        </w:rPr>
      </w:pPr>
      <w:r w:rsidRPr="0027684A">
        <w:rPr>
          <w:rFonts w:ascii="Calibri" w:hAnsi="Calibri" w:cs="Calibri"/>
          <w:sz w:val="20"/>
          <w:szCs w:val="20"/>
        </w:rPr>
        <w:t>The Bunbury Visitor Centre has the right to collect commission on cancelled bookings where the balance has been paid to the member in full. Additionally, cancellations made via the Visitor Centre attract an Administration Fee of $22 payable by the consumer to the Bunbury Visitor Centre in addition to the standard cancellation policy of the tourism operator.</w:t>
      </w:r>
    </w:p>
    <w:p w14:paraId="7753014E" w14:textId="77777777" w:rsidR="00AB4523" w:rsidRPr="0027684A" w:rsidRDefault="00AB4523" w:rsidP="00AB4523">
      <w:pPr>
        <w:numPr>
          <w:ilvl w:val="0"/>
          <w:numId w:val="8"/>
        </w:numPr>
        <w:rPr>
          <w:rFonts w:ascii="Calibri" w:hAnsi="Calibri" w:cs="Calibri"/>
          <w:sz w:val="20"/>
          <w:szCs w:val="20"/>
        </w:rPr>
      </w:pPr>
      <w:r w:rsidRPr="0027684A">
        <w:rPr>
          <w:rFonts w:ascii="Calibri" w:hAnsi="Calibri" w:cs="Calibri"/>
          <w:sz w:val="20"/>
          <w:szCs w:val="20"/>
        </w:rPr>
        <w:t>Members will act in good faith while conducting business with the Bunbury Visitor Centre and not actively seek to avoid paying relevant commissions.</w:t>
      </w:r>
    </w:p>
    <w:p w14:paraId="7F207488" w14:textId="4A3CB498" w:rsidR="00202102" w:rsidRPr="00202102" w:rsidRDefault="00AB4523" w:rsidP="00AB4523">
      <w:pPr>
        <w:numPr>
          <w:ilvl w:val="0"/>
          <w:numId w:val="8"/>
        </w:numPr>
      </w:pPr>
      <w:r w:rsidRPr="0027684A">
        <w:rPr>
          <w:rFonts w:ascii="Calibri" w:hAnsi="Calibri" w:cs="Calibri"/>
          <w:sz w:val="20"/>
          <w:szCs w:val="20"/>
        </w:rPr>
        <w:t>Should the City have a payment dishonour from the bank after initial transaction, the City will not be liable for the loss incurred. The members will be required to return funds back to the City.</w:t>
      </w:r>
    </w:p>
    <w:p w14:paraId="3529BB0F" w14:textId="1E40C6F0" w:rsidR="00202102" w:rsidRPr="00C472BF" w:rsidRDefault="00C472BF" w:rsidP="00202102">
      <w:pPr>
        <w:rPr>
          <w:rFonts w:ascii="Baskerville Old Face" w:hAnsi="Baskerville Old Face"/>
          <w:color w:val="33CCCC"/>
          <w:sz w:val="36"/>
          <w:szCs w:val="36"/>
        </w:rPr>
      </w:pPr>
      <w:r>
        <w:rPr>
          <w:rFonts w:ascii="Baskerville Old Face" w:hAnsi="Baskerville Old Face"/>
          <w:b/>
          <w:bCs/>
          <w:color w:val="33CCCC"/>
          <w:sz w:val="36"/>
          <w:szCs w:val="36"/>
        </w:rPr>
        <w:t xml:space="preserve">    </w:t>
      </w:r>
      <w:r w:rsidR="00202102" w:rsidRPr="00C472BF">
        <w:rPr>
          <w:rFonts w:ascii="Baskerville Old Face" w:hAnsi="Baskerville Old Face"/>
          <w:b/>
          <w:bCs/>
          <w:color w:val="33CCCC"/>
          <w:sz w:val="36"/>
          <w:szCs w:val="36"/>
        </w:rPr>
        <w:t>Member Responsibilities</w:t>
      </w:r>
    </w:p>
    <w:p w14:paraId="1CF9FDE0"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Keep the Bunbury Visitor Centre informed about product features, facilities, prices, times of operation, contact details and any changes to their business that affects dealings with Bunbury Visitor Centre.</w:t>
      </w:r>
    </w:p>
    <w:p w14:paraId="3D8D4288"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Invite the Bunbury Visitor Centre staff to inspect and familiarise themselves with your property/attraction/business.</w:t>
      </w:r>
    </w:p>
    <w:p w14:paraId="6F3E322C"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Ensure that the Bunbury Visitor Centre has a constant supply of your brochures in stock.</w:t>
      </w:r>
    </w:p>
    <w:p w14:paraId="4017A8DC"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act professionally with a high level of care and consideration towards other members, customers, staff, management and the community.</w:t>
      </w:r>
    </w:p>
    <w:p w14:paraId="66B5E8E5"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lastRenderedPageBreak/>
        <w:t>To deliver with integrity and honesty all advertised products and services.</w:t>
      </w:r>
    </w:p>
    <w:p w14:paraId="6BB48563"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observe all local, state and federal statutory obligations including licenses, insurances and permits.</w:t>
      </w:r>
    </w:p>
    <w:p w14:paraId="076E0BE6"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comply with the laws of Australia and ensure all contracts and terms of business are clear, concise and honoured in full, and all dealings are ethical and fair.</w:t>
      </w:r>
    </w:p>
    <w:p w14:paraId="42355C4E"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All members with bookable product must provide inventory for commissionable bookings to the Bunbury Visitor Centre. Published rates must be honoured and must be kept up to date on a regular (if not daily) basis. The booking price and offers displayed to users on www.visitbunburygeographe.com.au must be at least as competitive as offered on other online (or offline) channels - including the members own website - for the same period.</w:t>
      </w:r>
    </w:p>
    <w:p w14:paraId="1422F787" w14:textId="678CFA59"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 xml:space="preserve">Members are responsible for updating rates and availability in Bookeasy on a regular basis and should understand that bookings can be made well in advance. If a member is unable to honour the product or service after the booking has been confirmed and paid for by the client, the member is responsible for providing an alternative product/service at equal or greater value/standard at the member's expense. This requirement is pursuant to the Trade Practices Act 1974. Gold Medal operators who are unable to honour a confirmed booking will be relegated to the 24-hour status for seven days. If a second instance of "unable to honour bookings" </w:t>
      </w:r>
      <w:r w:rsidR="004D301A" w:rsidRPr="0027684A">
        <w:rPr>
          <w:rFonts w:ascii="Calibri" w:hAnsi="Calibri" w:cs="Calibri"/>
          <w:sz w:val="20"/>
          <w:szCs w:val="20"/>
        </w:rPr>
        <w:t>occurs,</w:t>
      </w:r>
      <w:r w:rsidRPr="0027684A">
        <w:rPr>
          <w:rFonts w:ascii="Calibri" w:hAnsi="Calibri" w:cs="Calibri"/>
          <w:sz w:val="20"/>
          <w:szCs w:val="20"/>
        </w:rPr>
        <w:t xml:space="preserve"> then the Operator will remain on 24-hour status.</w:t>
      </w:r>
    </w:p>
    <w:p w14:paraId="1C7EABB2"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 xml:space="preserve">To speak and act respectfully and not denigrate or slander anyone or discriminate </w:t>
      </w:r>
      <w:proofErr w:type="gramStart"/>
      <w:r w:rsidRPr="0027684A">
        <w:rPr>
          <w:rFonts w:ascii="Calibri" w:hAnsi="Calibri" w:cs="Calibri"/>
          <w:sz w:val="20"/>
          <w:szCs w:val="20"/>
        </w:rPr>
        <w:t>on the basis of</w:t>
      </w:r>
      <w:proofErr w:type="gramEnd"/>
      <w:r w:rsidRPr="0027684A">
        <w:rPr>
          <w:rFonts w:ascii="Calibri" w:hAnsi="Calibri" w:cs="Calibri"/>
          <w:sz w:val="20"/>
          <w:szCs w:val="20"/>
        </w:rPr>
        <w:t xml:space="preserve"> race, gender, religious belief, sexual orientation or political persuasion.</w:t>
      </w:r>
    </w:p>
    <w:p w14:paraId="428D813D"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ensure claims in advertising and marketing a product or service are true (including imagery), are never misleading or exaggerated and are not negative about another member's product or service.</w:t>
      </w:r>
    </w:p>
    <w:p w14:paraId="2D5A8914"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operate a safe, humane and healthy working environment for staff, customers and the public.</w:t>
      </w:r>
    </w:p>
    <w:p w14:paraId="05499CFC"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manage their staff and contractors fairly and equitably.</w:t>
      </w:r>
    </w:p>
    <w:p w14:paraId="7418256B" w14:textId="77777777"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To be ambassadors for tourism in the region and help promote community understanding of the importance of tourism as a vibrant contributor to the region's economy and quality of life.</w:t>
      </w:r>
    </w:p>
    <w:p w14:paraId="5D606AB6" w14:textId="0528D342" w:rsidR="00202102" w:rsidRPr="0027684A" w:rsidRDefault="00202102" w:rsidP="00202102">
      <w:pPr>
        <w:numPr>
          <w:ilvl w:val="0"/>
          <w:numId w:val="9"/>
        </w:numPr>
        <w:rPr>
          <w:rFonts w:ascii="Calibri" w:hAnsi="Calibri" w:cs="Calibri"/>
          <w:sz w:val="20"/>
          <w:szCs w:val="20"/>
        </w:rPr>
      </w:pPr>
      <w:r w:rsidRPr="0027684A">
        <w:rPr>
          <w:rFonts w:ascii="Calibri" w:hAnsi="Calibri" w:cs="Calibri"/>
          <w:sz w:val="20"/>
          <w:szCs w:val="20"/>
        </w:rPr>
        <w:t xml:space="preserve">To have complaints about the Bunbury Visitor Centre or its management and staff dealt with in an appropriate manner in the first instance through either the Bunbury Visitor Centre management or the Manager </w:t>
      </w:r>
      <w:r w:rsidR="00C472BF" w:rsidRPr="0027684A">
        <w:rPr>
          <w:rFonts w:ascii="Calibri" w:hAnsi="Calibri" w:cs="Calibri"/>
          <w:sz w:val="20"/>
          <w:szCs w:val="20"/>
        </w:rPr>
        <w:t>Economic Growth</w:t>
      </w:r>
      <w:r w:rsidRPr="0027684A">
        <w:rPr>
          <w:rFonts w:ascii="Calibri" w:hAnsi="Calibri" w:cs="Calibri"/>
          <w:sz w:val="20"/>
          <w:szCs w:val="20"/>
        </w:rPr>
        <w:t>, City of Bunbury, whereupon it will be dealt with promptly.</w:t>
      </w:r>
      <w:r w:rsidR="0027684A" w:rsidRPr="0027684A">
        <w:rPr>
          <w:rFonts w:ascii="Calibri" w:hAnsi="Calibri" w:cs="Calibri"/>
          <w:sz w:val="20"/>
          <w:szCs w:val="20"/>
        </w:rPr>
        <w:br/>
      </w:r>
    </w:p>
    <w:p w14:paraId="56EAB73C" w14:textId="3712B595" w:rsidR="00202102" w:rsidRPr="00C472BF" w:rsidRDefault="00C472BF" w:rsidP="00202102">
      <w:pPr>
        <w:rPr>
          <w:rFonts w:ascii="Baskerville Old Face" w:hAnsi="Baskerville Old Face"/>
          <w:color w:val="33CCCC"/>
          <w:sz w:val="36"/>
          <w:szCs w:val="36"/>
        </w:rPr>
      </w:pPr>
      <w:r>
        <w:rPr>
          <w:rFonts w:ascii="Baskerville Old Face" w:hAnsi="Baskerville Old Face"/>
          <w:b/>
          <w:bCs/>
          <w:color w:val="33CCCC"/>
          <w:sz w:val="36"/>
          <w:szCs w:val="36"/>
        </w:rPr>
        <w:t xml:space="preserve">   </w:t>
      </w:r>
      <w:r w:rsidR="00202102" w:rsidRPr="00C472BF">
        <w:rPr>
          <w:rFonts w:ascii="Baskerville Old Face" w:hAnsi="Baskerville Old Face"/>
          <w:b/>
          <w:bCs/>
          <w:color w:val="33CCCC"/>
          <w:sz w:val="36"/>
          <w:szCs w:val="36"/>
        </w:rPr>
        <w:t>Accreditation</w:t>
      </w:r>
    </w:p>
    <w:p w14:paraId="42881030" w14:textId="77777777" w:rsidR="00202102" w:rsidRPr="0027684A" w:rsidRDefault="00202102" w:rsidP="00202102">
      <w:pPr>
        <w:numPr>
          <w:ilvl w:val="0"/>
          <w:numId w:val="10"/>
        </w:numPr>
        <w:rPr>
          <w:rFonts w:ascii="Calibri" w:hAnsi="Calibri" w:cs="Calibri"/>
          <w:sz w:val="20"/>
          <w:szCs w:val="20"/>
        </w:rPr>
      </w:pPr>
      <w:r w:rsidRPr="0027684A">
        <w:rPr>
          <w:rFonts w:ascii="Calibri" w:hAnsi="Calibri" w:cs="Calibri"/>
          <w:sz w:val="20"/>
          <w:szCs w:val="20"/>
        </w:rPr>
        <w:t>Accreditation provides businesses with a valuable business asset and aligns your product with a highly recognisable national brand.</w:t>
      </w:r>
    </w:p>
    <w:p w14:paraId="78E1C6F8" w14:textId="77777777" w:rsidR="00202102" w:rsidRPr="0027684A" w:rsidRDefault="00202102" w:rsidP="00202102">
      <w:pPr>
        <w:numPr>
          <w:ilvl w:val="0"/>
          <w:numId w:val="10"/>
        </w:numPr>
        <w:rPr>
          <w:rFonts w:ascii="Calibri" w:hAnsi="Calibri" w:cs="Calibri"/>
          <w:sz w:val="20"/>
          <w:szCs w:val="20"/>
        </w:rPr>
      </w:pPr>
      <w:r w:rsidRPr="0027684A">
        <w:rPr>
          <w:rFonts w:ascii="Calibri" w:hAnsi="Calibri" w:cs="Calibri"/>
          <w:sz w:val="20"/>
          <w:szCs w:val="20"/>
        </w:rPr>
        <w:t>Benefits of accreditation include:</w:t>
      </w:r>
    </w:p>
    <w:p w14:paraId="089B0784" w14:textId="77777777" w:rsidR="00202102" w:rsidRPr="0027684A" w:rsidRDefault="00202102" w:rsidP="00202102">
      <w:pPr>
        <w:numPr>
          <w:ilvl w:val="1"/>
          <w:numId w:val="11"/>
        </w:numPr>
        <w:rPr>
          <w:rFonts w:ascii="Calibri" w:hAnsi="Calibri" w:cs="Calibri"/>
          <w:sz w:val="20"/>
          <w:szCs w:val="20"/>
        </w:rPr>
      </w:pPr>
      <w:r w:rsidRPr="0027684A">
        <w:rPr>
          <w:rFonts w:ascii="Calibri" w:hAnsi="Calibri" w:cs="Calibri"/>
          <w:sz w:val="20"/>
          <w:szCs w:val="20"/>
        </w:rPr>
        <w:t>An improved reputation in the tourism marketplace</w:t>
      </w:r>
    </w:p>
    <w:p w14:paraId="3E7C0A53" w14:textId="77777777" w:rsidR="00202102" w:rsidRPr="0027684A" w:rsidRDefault="00202102" w:rsidP="00202102">
      <w:pPr>
        <w:numPr>
          <w:ilvl w:val="1"/>
          <w:numId w:val="12"/>
        </w:numPr>
        <w:rPr>
          <w:rFonts w:ascii="Calibri" w:hAnsi="Calibri" w:cs="Calibri"/>
          <w:sz w:val="20"/>
          <w:szCs w:val="20"/>
        </w:rPr>
      </w:pPr>
      <w:r w:rsidRPr="0027684A">
        <w:rPr>
          <w:rFonts w:ascii="Calibri" w:hAnsi="Calibri" w:cs="Calibri"/>
          <w:sz w:val="20"/>
          <w:szCs w:val="20"/>
        </w:rPr>
        <w:t>Greater customer satisfaction and confidence which leads to repeat business</w:t>
      </w:r>
    </w:p>
    <w:p w14:paraId="37A4F4E9" w14:textId="77777777" w:rsidR="00202102" w:rsidRPr="0027684A" w:rsidRDefault="00202102" w:rsidP="00202102">
      <w:pPr>
        <w:numPr>
          <w:ilvl w:val="1"/>
          <w:numId w:val="13"/>
        </w:numPr>
        <w:rPr>
          <w:rFonts w:ascii="Calibri" w:hAnsi="Calibri" w:cs="Calibri"/>
          <w:sz w:val="20"/>
          <w:szCs w:val="20"/>
        </w:rPr>
      </w:pPr>
      <w:r w:rsidRPr="0027684A">
        <w:rPr>
          <w:rFonts w:ascii="Calibri" w:hAnsi="Calibri" w:cs="Calibri"/>
          <w:sz w:val="20"/>
          <w:szCs w:val="20"/>
        </w:rPr>
        <w:t>More effective management and improved employee morale</w:t>
      </w:r>
    </w:p>
    <w:p w14:paraId="4E54518E" w14:textId="77777777" w:rsidR="00202102" w:rsidRPr="0027684A" w:rsidRDefault="00202102" w:rsidP="00202102">
      <w:pPr>
        <w:numPr>
          <w:ilvl w:val="1"/>
          <w:numId w:val="14"/>
        </w:numPr>
        <w:rPr>
          <w:rFonts w:ascii="Calibri" w:hAnsi="Calibri" w:cs="Calibri"/>
          <w:sz w:val="20"/>
          <w:szCs w:val="20"/>
        </w:rPr>
      </w:pPr>
      <w:r w:rsidRPr="0027684A">
        <w:rPr>
          <w:rFonts w:ascii="Calibri" w:hAnsi="Calibri" w:cs="Calibri"/>
          <w:sz w:val="20"/>
          <w:szCs w:val="20"/>
        </w:rPr>
        <w:t>A competitive advantage over non-accredited operators</w:t>
      </w:r>
    </w:p>
    <w:p w14:paraId="13C9964C" w14:textId="522F7638" w:rsidR="00202102" w:rsidRPr="0027684A" w:rsidRDefault="00202102" w:rsidP="00C472BF">
      <w:pPr>
        <w:pStyle w:val="ListParagraph"/>
        <w:numPr>
          <w:ilvl w:val="0"/>
          <w:numId w:val="14"/>
        </w:numPr>
        <w:rPr>
          <w:rFonts w:ascii="Calibri" w:hAnsi="Calibri" w:cs="Calibri"/>
          <w:sz w:val="20"/>
          <w:szCs w:val="20"/>
        </w:rPr>
      </w:pPr>
      <w:r w:rsidRPr="0027684A">
        <w:rPr>
          <w:rFonts w:ascii="Calibri" w:hAnsi="Calibri" w:cs="Calibri"/>
          <w:sz w:val="20"/>
          <w:szCs w:val="20"/>
        </w:rPr>
        <w:t>The NTAP accreditation program is run by the Tourism Council of WA (TCWA) - for more information on accreditation visit their website www.tourismcouncilwa.com.au.</w:t>
      </w:r>
      <w:r w:rsidR="00C472BF" w:rsidRPr="0027684A">
        <w:rPr>
          <w:rFonts w:ascii="Calibri" w:hAnsi="Calibri" w:cs="Calibri"/>
          <w:sz w:val="20"/>
          <w:szCs w:val="20"/>
        </w:rPr>
        <w:br/>
      </w:r>
    </w:p>
    <w:p w14:paraId="47C0B82A" w14:textId="079DC44E" w:rsidR="005C6B4D" w:rsidRPr="0027684A" w:rsidRDefault="00202102" w:rsidP="0027684A">
      <w:pPr>
        <w:pStyle w:val="ListParagraph"/>
        <w:numPr>
          <w:ilvl w:val="0"/>
          <w:numId w:val="14"/>
        </w:numPr>
        <w:rPr>
          <w:rFonts w:ascii="Calibri" w:hAnsi="Calibri" w:cs="Calibri"/>
          <w:sz w:val="20"/>
          <w:szCs w:val="20"/>
        </w:rPr>
      </w:pPr>
      <w:r w:rsidRPr="0027684A">
        <w:rPr>
          <w:rFonts w:ascii="Calibri" w:hAnsi="Calibri" w:cs="Calibri"/>
          <w:sz w:val="20"/>
          <w:szCs w:val="20"/>
        </w:rPr>
        <w:t>The TQUAL accreditation program works in conjunction with the above but also includes other accreditation programs. For more information visit www.tourism.australia.com/tqual.</w:t>
      </w:r>
    </w:p>
    <w:sectPr w:rsidR="005C6B4D" w:rsidRPr="0027684A" w:rsidSect="00C472BF">
      <w:pgSz w:w="11906" w:h="16838"/>
      <w:pgMar w:top="107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C32"/>
    <w:multiLevelType w:val="multilevel"/>
    <w:tmpl w:val="BB9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D00E6"/>
    <w:multiLevelType w:val="multilevel"/>
    <w:tmpl w:val="3220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36427"/>
    <w:multiLevelType w:val="multilevel"/>
    <w:tmpl w:val="D4A8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725E3"/>
    <w:multiLevelType w:val="multilevel"/>
    <w:tmpl w:val="7CD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B1F31"/>
    <w:multiLevelType w:val="multilevel"/>
    <w:tmpl w:val="877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F528E"/>
    <w:multiLevelType w:val="multilevel"/>
    <w:tmpl w:val="991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425454">
    <w:abstractNumId w:val="0"/>
  </w:num>
  <w:num w:numId="2" w16cid:durableId="472217102">
    <w:abstractNumId w:val="4"/>
  </w:num>
  <w:num w:numId="3" w16cid:durableId="1199271143">
    <w:abstractNumId w:val="1"/>
  </w:num>
  <w:num w:numId="4" w16cid:durableId="2130320745">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111163673">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949461357">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311985046">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631277814">
    <w:abstractNumId w:val="3"/>
  </w:num>
  <w:num w:numId="9" w16cid:durableId="193159933">
    <w:abstractNumId w:val="5"/>
  </w:num>
  <w:num w:numId="10" w16cid:durableId="1483156535">
    <w:abstractNumId w:val="2"/>
  </w:num>
  <w:num w:numId="11" w16cid:durableId="70086192">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1443695559">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16cid:durableId="163394572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1812820117">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2102"/>
    <w:rsid w:val="000E2E30"/>
    <w:rsid w:val="00202102"/>
    <w:rsid w:val="0027684A"/>
    <w:rsid w:val="0035638E"/>
    <w:rsid w:val="004D301A"/>
    <w:rsid w:val="005C6B4D"/>
    <w:rsid w:val="00832F63"/>
    <w:rsid w:val="00893862"/>
    <w:rsid w:val="00AB4523"/>
    <w:rsid w:val="00C27D6F"/>
    <w:rsid w:val="00C472BF"/>
    <w:rsid w:val="00DA223E"/>
    <w:rsid w:val="00DF4510"/>
    <w:rsid w:val="00FD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09AF"/>
  <w15:chartTrackingRefBased/>
  <w15:docId w15:val="{8A9400EB-3CC5-4798-BC6F-047C7E2C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102"/>
    <w:rPr>
      <w:rFonts w:eastAsiaTheme="majorEastAsia" w:cstheme="majorBidi"/>
      <w:color w:val="272727" w:themeColor="text1" w:themeTint="D8"/>
    </w:rPr>
  </w:style>
  <w:style w:type="paragraph" w:styleId="Title">
    <w:name w:val="Title"/>
    <w:basedOn w:val="Normal"/>
    <w:next w:val="Normal"/>
    <w:link w:val="TitleChar"/>
    <w:uiPriority w:val="10"/>
    <w:qFormat/>
    <w:rsid w:val="0020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102"/>
    <w:pPr>
      <w:spacing w:before="160"/>
      <w:jc w:val="center"/>
    </w:pPr>
    <w:rPr>
      <w:i/>
      <w:iCs/>
      <w:color w:val="404040" w:themeColor="text1" w:themeTint="BF"/>
    </w:rPr>
  </w:style>
  <w:style w:type="character" w:customStyle="1" w:styleId="QuoteChar">
    <w:name w:val="Quote Char"/>
    <w:basedOn w:val="DefaultParagraphFont"/>
    <w:link w:val="Quote"/>
    <w:uiPriority w:val="29"/>
    <w:rsid w:val="00202102"/>
    <w:rPr>
      <w:i/>
      <w:iCs/>
      <w:color w:val="404040" w:themeColor="text1" w:themeTint="BF"/>
    </w:rPr>
  </w:style>
  <w:style w:type="paragraph" w:styleId="ListParagraph">
    <w:name w:val="List Paragraph"/>
    <w:basedOn w:val="Normal"/>
    <w:uiPriority w:val="34"/>
    <w:qFormat/>
    <w:rsid w:val="00202102"/>
    <w:pPr>
      <w:ind w:left="720"/>
      <w:contextualSpacing/>
    </w:pPr>
  </w:style>
  <w:style w:type="character" w:styleId="IntenseEmphasis">
    <w:name w:val="Intense Emphasis"/>
    <w:basedOn w:val="DefaultParagraphFont"/>
    <w:uiPriority w:val="21"/>
    <w:qFormat/>
    <w:rsid w:val="00202102"/>
    <w:rPr>
      <w:i/>
      <w:iCs/>
      <w:color w:val="0F4761" w:themeColor="accent1" w:themeShade="BF"/>
    </w:rPr>
  </w:style>
  <w:style w:type="paragraph" w:styleId="IntenseQuote">
    <w:name w:val="Intense Quote"/>
    <w:basedOn w:val="Normal"/>
    <w:next w:val="Normal"/>
    <w:link w:val="IntenseQuoteChar"/>
    <w:uiPriority w:val="30"/>
    <w:qFormat/>
    <w:rsid w:val="0020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102"/>
    <w:rPr>
      <w:i/>
      <w:iCs/>
      <w:color w:val="0F4761" w:themeColor="accent1" w:themeShade="BF"/>
    </w:rPr>
  </w:style>
  <w:style w:type="character" w:styleId="IntenseReference">
    <w:name w:val="Intense Reference"/>
    <w:basedOn w:val="DefaultParagraphFont"/>
    <w:uiPriority w:val="32"/>
    <w:qFormat/>
    <w:rsid w:val="00202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1177">
      <w:bodyDiv w:val="1"/>
      <w:marLeft w:val="0"/>
      <w:marRight w:val="0"/>
      <w:marTop w:val="0"/>
      <w:marBottom w:val="0"/>
      <w:divBdr>
        <w:top w:val="none" w:sz="0" w:space="0" w:color="auto"/>
        <w:left w:val="none" w:sz="0" w:space="0" w:color="auto"/>
        <w:bottom w:val="none" w:sz="0" w:space="0" w:color="auto"/>
        <w:right w:val="none" w:sz="0" w:space="0" w:color="auto"/>
      </w:divBdr>
    </w:div>
    <w:div w:id="554775830">
      <w:bodyDiv w:val="1"/>
      <w:marLeft w:val="0"/>
      <w:marRight w:val="0"/>
      <w:marTop w:val="0"/>
      <w:marBottom w:val="0"/>
      <w:divBdr>
        <w:top w:val="none" w:sz="0" w:space="0" w:color="auto"/>
        <w:left w:val="none" w:sz="0" w:space="0" w:color="auto"/>
        <w:bottom w:val="none" w:sz="0" w:space="0" w:color="auto"/>
        <w:right w:val="none" w:sz="0" w:space="0" w:color="auto"/>
      </w:divBdr>
    </w:div>
    <w:div w:id="743799580">
      <w:bodyDiv w:val="1"/>
      <w:marLeft w:val="0"/>
      <w:marRight w:val="0"/>
      <w:marTop w:val="0"/>
      <w:marBottom w:val="0"/>
      <w:divBdr>
        <w:top w:val="none" w:sz="0" w:space="0" w:color="auto"/>
        <w:left w:val="none" w:sz="0" w:space="0" w:color="auto"/>
        <w:bottom w:val="none" w:sz="0" w:space="0" w:color="auto"/>
        <w:right w:val="none" w:sz="0" w:space="0" w:color="auto"/>
      </w:divBdr>
    </w:div>
    <w:div w:id="950746899">
      <w:bodyDiv w:val="1"/>
      <w:marLeft w:val="0"/>
      <w:marRight w:val="0"/>
      <w:marTop w:val="0"/>
      <w:marBottom w:val="0"/>
      <w:divBdr>
        <w:top w:val="none" w:sz="0" w:space="0" w:color="auto"/>
        <w:left w:val="none" w:sz="0" w:space="0" w:color="auto"/>
        <w:bottom w:val="none" w:sz="0" w:space="0" w:color="auto"/>
        <w:right w:val="none" w:sz="0" w:space="0" w:color="auto"/>
      </w:divBdr>
    </w:div>
    <w:div w:id="1436511583">
      <w:bodyDiv w:val="1"/>
      <w:marLeft w:val="0"/>
      <w:marRight w:val="0"/>
      <w:marTop w:val="0"/>
      <w:marBottom w:val="0"/>
      <w:divBdr>
        <w:top w:val="none" w:sz="0" w:space="0" w:color="auto"/>
        <w:left w:val="none" w:sz="0" w:space="0" w:color="auto"/>
        <w:bottom w:val="none" w:sz="0" w:space="0" w:color="auto"/>
        <w:right w:val="none" w:sz="0" w:space="0" w:color="auto"/>
      </w:divBdr>
    </w:div>
    <w:div w:id="14613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Tonkin</dc:creator>
  <cp:keywords/>
  <dc:description/>
  <cp:lastModifiedBy>Sue Free</cp:lastModifiedBy>
  <cp:revision>3</cp:revision>
  <dcterms:created xsi:type="dcterms:W3CDTF">2025-04-11T01:32:00Z</dcterms:created>
  <dcterms:modified xsi:type="dcterms:W3CDTF">2025-04-12T03:29:00Z</dcterms:modified>
</cp:coreProperties>
</file>